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D1" w:rsidRPr="00D544D1" w:rsidRDefault="00D544D1" w:rsidP="00D544D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544D1">
        <w:rPr>
          <w:rFonts w:ascii="Arial" w:eastAsia="Times New Roman" w:hAnsi="Arial" w:cs="Arial"/>
          <w:b/>
          <w:bCs/>
          <w:color w:val="2D2D2D"/>
          <w:kern w:val="36"/>
          <w:sz w:val="46"/>
          <w:szCs w:val="46"/>
          <w:lang w:eastAsia="ru-RU"/>
        </w:rPr>
        <w:t>Об утверждении Концепции программы поддержки детского и юношеского чтения в Российской Федерации</w:t>
      </w:r>
    </w:p>
    <w:p w:rsidR="00D544D1" w:rsidRPr="00D544D1" w:rsidRDefault="00D544D1" w:rsidP="00D544D1">
      <w:pPr>
        <w:spacing w:after="0" w:line="288" w:lineRule="atLeast"/>
        <w:jc w:val="center"/>
        <w:textAlignment w:val="baseline"/>
        <w:rPr>
          <w:rFonts w:ascii="Times New Roman" w:eastAsia="Times New Roman" w:hAnsi="Times New Roman" w:cs="Times New Roman"/>
          <w:color w:val="3C3C3C"/>
          <w:sz w:val="41"/>
          <w:szCs w:val="41"/>
          <w:lang w:eastAsia="ru-RU"/>
        </w:rPr>
      </w:pPr>
      <w:r w:rsidRPr="00D544D1">
        <w:rPr>
          <w:rFonts w:ascii="Times New Roman" w:eastAsia="Times New Roman" w:hAnsi="Times New Roman" w:cs="Times New Roman"/>
          <w:color w:val="3C3C3C"/>
          <w:sz w:val="41"/>
          <w:szCs w:val="41"/>
          <w:lang w:eastAsia="ru-RU"/>
        </w:rPr>
        <w:br/>
        <w:t>ПРАВИТЕЛЬСТВО РОССИЙСКОЙ ФЕДЕРАЦИИ</w:t>
      </w:r>
    </w:p>
    <w:p w:rsidR="00D544D1" w:rsidRPr="00D544D1" w:rsidRDefault="00D544D1" w:rsidP="00D544D1">
      <w:pPr>
        <w:spacing w:after="0" w:line="288" w:lineRule="atLeast"/>
        <w:jc w:val="center"/>
        <w:textAlignment w:val="baseline"/>
        <w:rPr>
          <w:rFonts w:ascii="Times New Roman" w:eastAsia="Times New Roman" w:hAnsi="Times New Roman" w:cs="Times New Roman"/>
          <w:color w:val="3C3C3C"/>
          <w:sz w:val="41"/>
          <w:szCs w:val="41"/>
          <w:lang w:eastAsia="ru-RU"/>
        </w:rPr>
      </w:pPr>
      <w:r w:rsidRPr="00D544D1">
        <w:rPr>
          <w:rFonts w:ascii="Times New Roman" w:eastAsia="Times New Roman" w:hAnsi="Times New Roman" w:cs="Times New Roman"/>
          <w:color w:val="3C3C3C"/>
          <w:sz w:val="41"/>
          <w:szCs w:val="41"/>
          <w:lang w:eastAsia="ru-RU"/>
        </w:rPr>
        <w:t>РАСПОРЯЖЕНИЕ</w:t>
      </w:r>
    </w:p>
    <w:p w:rsidR="00D544D1" w:rsidRPr="00D544D1" w:rsidRDefault="00D544D1" w:rsidP="00D544D1">
      <w:pPr>
        <w:spacing w:after="0" w:line="288" w:lineRule="atLeast"/>
        <w:jc w:val="center"/>
        <w:textAlignment w:val="baseline"/>
        <w:rPr>
          <w:rFonts w:ascii="Times New Roman" w:eastAsia="Times New Roman" w:hAnsi="Times New Roman" w:cs="Times New Roman"/>
          <w:color w:val="3C3C3C"/>
          <w:sz w:val="41"/>
          <w:szCs w:val="41"/>
          <w:lang w:eastAsia="ru-RU"/>
        </w:rPr>
      </w:pPr>
      <w:r w:rsidRPr="00D544D1">
        <w:rPr>
          <w:rFonts w:ascii="Times New Roman" w:eastAsia="Times New Roman" w:hAnsi="Times New Roman" w:cs="Times New Roman"/>
          <w:color w:val="3C3C3C"/>
          <w:sz w:val="41"/>
          <w:szCs w:val="41"/>
          <w:lang w:eastAsia="ru-RU"/>
        </w:rPr>
        <w:t>от 3 июня 2017 года N 1155-р</w:t>
      </w:r>
    </w:p>
    <w:p w:rsidR="00D544D1" w:rsidRPr="00D544D1" w:rsidRDefault="00D544D1" w:rsidP="00D544D1">
      <w:pPr>
        <w:spacing w:after="0" w:line="288" w:lineRule="atLeast"/>
        <w:jc w:val="center"/>
        <w:textAlignment w:val="baseline"/>
        <w:rPr>
          <w:rFonts w:ascii="Times New Roman" w:eastAsia="Times New Roman" w:hAnsi="Times New Roman" w:cs="Times New Roman"/>
          <w:color w:val="3C3C3C"/>
          <w:sz w:val="41"/>
          <w:szCs w:val="41"/>
          <w:lang w:eastAsia="ru-RU"/>
        </w:rPr>
      </w:pPr>
      <w:r w:rsidRPr="00D544D1">
        <w:rPr>
          <w:rFonts w:ascii="Times New Roman" w:eastAsia="Times New Roman" w:hAnsi="Times New Roman" w:cs="Times New Roman"/>
          <w:color w:val="3C3C3C"/>
          <w:sz w:val="41"/>
          <w:szCs w:val="41"/>
          <w:lang w:eastAsia="ru-RU"/>
        </w:rPr>
        <w:t>[Об утверждении Концепции программы поддержки детского и юношеского чтения в Российской Федерации]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1. Утвердить прилагаемую Концепцию программы поддержки детского и юношеского чтения в Российской Федерации.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2. Минкомсвязи России и Роспечати совместно с заинтересованными федеральными органами исполнительной власти разработать и внести в установленном порядке в Правительство Российской Федерации проект плана мероприятий по реализации Концепции, утвержденной настоящим распоряжением, предусмотрев в том числе разработку соответствующей подпрограммы </w:t>
      </w:r>
      <w:hyperlink r:id="rId5" w:history="1">
        <w:r w:rsidRPr="00D544D1">
          <w:rPr>
            <w:rFonts w:ascii="Times New Roman" w:eastAsia="Times New Roman" w:hAnsi="Times New Roman" w:cs="Times New Roman"/>
            <w:color w:val="00466E"/>
            <w:sz w:val="21"/>
            <w:szCs w:val="21"/>
            <w:u w:val="single"/>
            <w:lang w:eastAsia="ru-RU"/>
          </w:rPr>
          <w:t>государственной программы Российской Федерации "Информационное общество (2011 - 2020 годы)"</w:t>
        </w:r>
      </w:hyperlink>
      <w:r w:rsidRPr="00D544D1">
        <w:rPr>
          <w:rFonts w:ascii="Times New Roman" w:eastAsia="Times New Roman" w:hAnsi="Times New Roman" w:cs="Times New Roman"/>
          <w:color w:val="2D2D2D"/>
          <w:sz w:val="21"/>
          <w:szCs w:val="21"/>
          <w:lang w:eastAsia="ru-RU"/>
        </w:rPr>
        <w:t>.</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after="0" w:line="315" w:lineRule="atLeast"/>
        <w:jc w:val="righ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Председатель Правительства</w:t>
      </w:r>
      <w:r w:rsidRPr="00D544D1">
        <w:rPr>
          <w:rFonts w:ascii="Times New Roman" w:eastAsia="Times New Roman" w:hAnsi="Times New Roman" w:cs="Times New Roman"/>
          <w:color w:val="2D2D2D"/>
          <w:sz w:val="21"/>
          <w:szCs w:val="21"/>
          <w:lang w:eastAsia="ru-RU"/>
        </w:rPr>
        <w:br/>
        <w:t>Российской Федерации</w:t>
      </w:r>
      <w:r w:rsidRPr="00D544D1">
        <w:rPr>
          <w:rFonts w:ascii="Times New Roman" w:eastAsia="Times New Roman" w:hAnsi="Times New Roman" w:cs="Times New Roman"/>
          <w:color w:val="2D2D2D"/>
          <w:sz w:val="21"/>
          <w:szCs w:val="21"/>
          <w:lang w:eastAsia="ru-RU"/>
        </w:rPr>
        <w:br/>
        <w:t>Д.Медведев</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1"/>
        <w:rPr>
          <w:rFonts w:ascii="Arial" w:eastAsia="Times New Roman" w:hAnsi="Arial" w:cs="Arial"/>
          <w:color w:val="3C3C3C"/>
          <w:sz w:val="41"/>
          <w:szCs w:val="41"/>
          <w:lang w:eastAsia="ru-RU"/>
        </w:rPr>
      </w:pPr>
      <w:r w:rsidRPr="00D544D1">
        <w:rPr>
          <w:rFonts w:ascii="Arial" w:eastAsia="Times New Roman" w:hAnsi="Arial" w:cs="Arial"/>
          <w:color w:val="3C3C3C"/>
          <w:sz w:val="41"/>
          <w:szCs w:val="41"/>
          <w:lang w:eastAsia="ru-RU"/>
        </w:rPr>
        <w:t>Концепция программы поддержки детского и юношеского чтения в Российской Федерации</w:t>
      </w:r>
    </w:p>
    <w:p w:rsidR="00D544D1" w:rsidRPr="00D544D1" w:rsidRDefault="00D544D1" w:rsidP="00D544D1">
      <w:pPr>
        <w:spacing w:after="0" w:line="315" w:lineRule="atLeast"/>
        <w:jc w:val="righ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УТВЕРЖДЕНА</w:t>
      </w:r>
      <w:r w:rsidRPr="00D544D1">
        <w:rPr>
          <w:rFonts w:ascii="Times New Roman" w:eastAsia="Times New Roman" w:hAnsi="Times New Roman" w:cs="Times New Roman"/>
          <w:color w:val="2D2D2D"/>
          <w:sz w:val="21"/>
          <w:szCs w:val="21"/>
          <w:lang w:eastAsia="ru-RU"/>
        </w:rPr>
        <w:br/>
        <w:t>распоряжением Правительства</w:t>
      </w:r>
      <w:r w:rsidRPr="00D544D1">
        <w:rPr>
          <w:rFonts w:ascii="Times New Roman" w:eastAsia="Times New Roman" w:hAnsi="Times New Roman" w:cs="Times New Roman"/>
          <w:color w:val="2D2D2D"/>
          <w:sz w:val="21"/>
          <w:szCs w:val="21"/>
          <w:lang w:eastAsia="ru-RU"/>
        </w:rPr>
        <w:br/>
        <w:t>Российской Федерации</w:t>
      </w:r>
      <w:r w:rsidRPr="00D544D1">
        <w:rPr>
          <w:rFonts w:ascii="Times New Roman" w:eastAsia="Times New Roman" w:hAnsi="Times New Roman" w:cs="Times New Roman"/>
          <w:color w:val="2D2D2D"/>
          <w:sz w:val="21"/>
          <w:szCs w:val="21"/>
          <w:lang w:eastAsia="ru-RU"/>
        </w:rPr>
        <w:br/>
        <w:t>от 3 июня 2017 года N 1155-р</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I. Общие положения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Настоящая Концепция представляет собой систему взглядов на основные проблемы в сфере детского и юношеского чтения, а также базовые принципы, цели, задачи, основные направления формирования программы поддержки детского и юношеского чтения в Российской Федерации (далее - программа) и этапы реализации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Положения настоящей Концепции нацелены на подрастающее поколение читателей и психолого-педагогические, культурные, экономические факторы, оказывающие влияние на его становление в условиях современной России.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и реализация программы - важный фактор социально-экономического развития страны с учетом силы влияния литературы и чтения на образование, мировоззрение и образ жизни подрастающего поколения.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Основные положения настоящей Концепции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II. Актуальность проблемы детского и юношеского чтения в России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Развитие в современном мире едва ли не в первую очередь определяется не только скоростью и качеством каналов обмена информацией, но и качеством самой информации, а главное - мерой ее освоенности всем обществом.</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Чтение имеет первостепенное значение: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для воспитания и образования подрастающего поколения, становления и развития личности;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для формирования общекультурного потенциала страны;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для повышения качества жизни.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Несмотря на очевидную важность и незаменимость чтения, снижение интереса к нему наблюдается во всем мире.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 средств массовой информации, развитием экранной культуры, социальных сетей и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Отдаленные последствия этой тенденции также не осмыслены, хотя острота проблем чтения, необходимость изучения факторов, порождающих эти проблемы, признаются повсеместно. В развитых и развивающихся странах обсуждаются необходимость и цели расширения и повышения качества читательской аудитории, объема, содержания и средств решения задач, стоящих в связи с этим перед соответствующими институтами.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никогда прежде издается колоссальное разнообразие книг и другой печатной продукции, в том числе для детского и юношеского возраста. Однако этот культурный эффект ослабляется целым рядом таких 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 регионах),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Выпускаемая детская печатная продукция адресуется в основном дошкольной аудитории.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издательствах детская книга занимает периферийные позиции.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Из-за удорожания и малого тиража детской книги снижается ее доступность, которая зависит от государственной поддержки издателей, выпускающих детскую литературу, а также от почтовых, транспортных льгот и других преференций. Особенно эти факторы влияют на доступность детской книги для жителей сельской местности.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полнотекстовых электронных ресурсов детской литературы предусматривает решение проблемы, связанной с сохранением доступности детей и юношества к лучшим образцам детской литературы в популярном цифровом формате.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Влияние современной информационной среды на ситуацию с чтением следует признать неоднозначным. Во всем мире реальностью стало изменение практик чтения - от чтения на бумаге к чтению на экране (все чаще на экране мобильных устройств) и использование медийных продуктов в общем 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связанных с концентрацией внимания, клиповостью восприятия и мышления, ослаблением когнитивных способностей молодого поколения, с тем,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 и получить прочные знания.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 xml:space="preserve">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дислексий (нарушение чтения), дисграфий (нарушение письма) у обучающихся и дислогий (неспособность использовать родной язык как главный инструмент сознания, освоения культурного опыта, общения) у детей и юношества. Преподаватели самых престижных российских и иностранных вузов обращают внимание на усиливающуюся языковую деградацию каждого нового поколения </w:t>
      </w:r>
      <w:r w:rsidRPr="00D544D1">
        <w:rPr>
          <w:rFonts w:ascii="Times New Roman" w:eastAsia="Times New Roman" w:hAnsi="Times New Roman" w:cs="Times New Roman"/>
          <w:color w:val="2D2D2D"/>
          <w:sz w:val="21"/>
          <w:szCs w:val="21"/>
          <w:lang w:eastAsia="ru-RU"/>
        </w:rPr>
        <w:lastRenderedPageBreak/>
        <w:t>студентов и отмечают, что если десять лет назад у молодежи существовала проблема изложить мысль в письменной форме, то теперь они уже не могут ее правильно высказать.</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России стало особенно заметным влияние этих общемировых проблем на подростковую возрастную группу. Об этом свидетельствуют результаты международных исследований в сфере образования, согласно которым российские школьники занимают в возрастной группе детей 9 - 10 лет лидирующие позиции по чтению и пониманию текста, но уже к 15 годам перемещаются в середину рейтинга.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получить в будущем мало читающее и малообразованное поколение.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Российской Федерации не хватает специалистов по детской литературе и недостаточно развита литературная критика и библиография в области литературы для детей и юношества.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Все это свидетельствует о необходимости принятия на уровне государства комплекса целенаправленных мер по поддержке детского и юношеского чтения как основы общей и профессиональной культуры будущих поколений населения нашей страны, как средства повышения ее человеческого капитала.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образовательного, просветительского, научно-исследовательского, научно-методического и информационно-медийного характера.</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III. Предпосылки создания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 Их потенциал достаточен для разработки научно обоснованной программы и последующей успешной ее реализации.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некоммерческим партнерством "РОССИЙСКИЙ КНИЖНЫЙ СОЮЗ" и Федеральным агентством по печати и массовым коммуникациям Национальной программы поддержки и развития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негосударственных учреждений культуры, науки, образования, институтов гражданского общества и коммерческих структур.</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печати, на телевидении и радио растет количество выступлений, посвященных теме чтения,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в Российской Федерации в 2016 - 2018 годах, Общества русской словесности, принятие стратегических документов (</w:t>
      </w:r>
      <w:hyperlink r:id="rId6" w:history="1">
        <w:r w:rsidRPr="00D544D1">
          <w:rPr>
            <w:rFonts w:ascii="Times New Roman" w:eastAsia="Times New Roman" w:hAnsi="Times New Roman" w:cs="Times New Roman"/>
            <w:color w:val="00466E"/>
            <w:sz w:val="21"/>
            <w:szCs w:val="21"/>
            <w:u w:val="single"/>
            <w:lang w:eastAsia="ru-RU"/>
          </w:rPr>
          <w:t>Основы государственной культурной политики</w:t>
        </w:r>
      </w:hyperlink>
      <w:r w:rsidRPr="00D544D1">
        <w:rPr>
          <w:rFonts w:ascii="Times New Roman" w:eastAsia="Times New Roman" w:hAnsi="Times New Roman" w:cs="Times New Roman"/>
          <w:color w:val="2D2D2D"/>
          <w:sz w:val="21"/>
          <w:szCs w:val="21"/>
          <w:lang w:eastAsia="ru-RU"/>
        </w:rPr>
        <w:t>, утвержденные </w:t>
      </w:r>
      <w:hyperlink r:id="rId7" w:history="1">
        <w:r w:rsidRPr="00D544D1">
          <w:rPr>
            <w:rFonts w:ascii="Times New Roman" w:eastAsia="Times New Roman" w:hAnsi="Times New Roman" w:cs="Times New Roman"/>
            <w:color w:val="00466E"/>
            <w:sz w:val="21"/>
            <w:szCs w:val="21"/>
            <w:u w:val="single"/>
            <w:lang w:eastAsia="ru-RU"/>
          </w:rPr>
          <w:t>Указом Президента Российской Федерации от 24 декабря 2014 года N 808 "Об утверждении Основ государственной культурной политики"</w:t>
        </w:r>
      </w:hyperlink>
      <w:r w:rsidRPr="00D544D1">
        <w:rPr>
          <w:rFonts w:ascii="Times New Roman" w:eastAsia="Times New Roman" w:hAnsi="Times New Roman" w:cs="Times New Roman"/>
          <w:color w:val="2D2D2D"/>
          <w:sz w:val="21"/>
          <w:szCs w:val="21"/>
          <w:lang w:eastAsia="ru-RU"/>
        </w:rPr>
        <w:t>, </w:t>
      </w:r>
      <w:hyperlink r:id="rId8" w:history="1">
        <w:r w:rsidRPr="00D544D1">
          <w:rPr>
            <w:rFonts w:ascii="Times New Roman" w:eastAsia="Times New Roman" w:hAnsi="Times New Roman" w:cs="Times New Roman"/>
            <w:color w:val="00466E"/>
            <w:sz w:val="21"/>
            <w:szCs w:val="21"/>
            <w:u w:val="single"/>
            <w:lang w:eastAsia="ru-RU"/>
          </w:rPr>
          <w:t>федеральная целевая программа "Русский язык" на 2016 - 2020 годы</w:t>
        </w:r>
      </w:hyperlink>
      <w:r w:rsidRPr="00D544D1">
        <w:rPr>
          <w:rFonts w:ascii="Times New Roman" w:eastAsia="Times New Roman" w:hAnsi="Times New Roman" w:cs="Times New Roman"/>
          <w:color w:val="2D2D2D"/>
          <w:sz w:val="21"/>
          <w:szCs w:val="21"/>
          <w:lang w:eastAsia="ru-RU"/>
        </w:rPr>
        <w:t>, утвержденная </w:t>
      </w:r>
      <w:hyperlink r:id="rId9" w:history="1">
        <w:r w:rsidRPr="00D544D1">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20 мая 2015 года N 481 "О федеральной целевой программе "Русский язык" на 2016 - 2020 годы"</w:t>
        </w:r>
      </w:hyperlink>
      <w:r w:rsidRPr="00D544D1">
        <w:rPr>
          <w:rFonts w:ascii="Times New Roman" w:eastAsia="Times New Roman" w:hAnsi="Times New Roman" w:cs="Times New Roman"/>
          <w:color w:val="2D2D2D"/>
          <w:sz w:val="21"/>
          <w:szCs w:val="21"/>
          <w:lang w:eastAsia="ru-RU"/>
        </w:rPr>
        <w:t>, </w:t>
      </w:r>
      <w:hyperlink r:id="rId10" w:history="1">
        <w:r w:rsidRPr="00D544D1">
          <w:rPr>
            <w:rFonts w:ascii="Times New Roman" w:eastAsia="Times New Roman" w:hAnsi="Times New Roman" w:cs="Times New Roman"/>
            <w:color w:val="00466E"/>
            <w:sz w:val="21"/>
            <w:szCs w:val="21"/>
            <w:u w:val="single"/>
            <w:lang w:eastAsia="ru-RU"/>
          </w:rPr>
          <w:t>Концепция преподавания русского языка и литературы в Российской Федерации</w:t>
        </w:r>
      </w:hyperlink>
      <w:r w:rsidRPr="00D544D1">
        <w:rPr>
          <w:rFonts w:ascii="Times New Roman" w:eastAsia="Times New Roman" w:hAnsi="Times New Roman" w:cs="Times New Roman"/>
          <w:color w:val="2D2D2D"/>
          <w:sz w:val="21"/>
          <w:szCs w:val="21"/>
          <w:lang w:eastAsia="ru-RU"/>
        </w:rPr>
        <w:t>, утвержденная </w:t>
      </w:r>
      <w:hyperlink r:id="rId11" w:history="1">
        <w:r w:rsidRPr="00D544D1">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9 апреля 2016 года N 637-р</w:t>
        </w:r>
      </w:hyperlink>
      <w:r w:rsidRPr="00D544D1">
        <w:rPr>
          <w:rFonts w:ascii="Times New Roman" w:eastAsia="Times New Roman" w:hAnsi="Times New Roman" w:cs="Times New Roman"/>
          <w:color w:val="2D2D2D"/>
          <w:sz w:val="21"/>
          <w:szCs w:val="21"/>
          <w:lang w:eastAsia="ru-RU"/>
        </w:rPr>
        <w:t>), а также возвращение сочинения (изложения) как формы допуска к государственной итоговой аттестации для обучающихся 11 (12) классов в общеобразовательной организации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Весь этот опыт должен быть проанализирован и использован при разработке программы.</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IV. Цель, задачи и принципы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Приоритетными задачами программы являются разработка междисциплинарной научно-методической основы развития и поддержки детского и юношеского чтения, развитие системы поддержки и повышение качества издаваемой детской литературы как базовой основы детской культуры, совершенствование институциональной инфраструктуры детского и юношеского чтения и развитие ее кадрового потенциала, повышение статуса и роли детского и юношеского чтения в обществе и формирование современной читательской компетентности детей и юношества.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Программа базируется на дифференцированном возрастном подходе, учитывающем особенности читательского поведения детей дошкольного, младшего школьного и юношеского возраста.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Построение программы основывается на следующих принципах:</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 так и детей с ограниченными возможностями здоровья);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принцип активного участия детей и юношества в реализации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принцип доступности, согласно которому все дети России должны иметь возможность читать лучшие детские книги и детскую периодику;</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принцип партнерства, межведомственной кооперации и координации усилий, прежде всего сфер образования, культуры, социальной защиты семьи, а также средств массовой информации;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принцип системного подхода.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Проблемы в сфере детского чтения, овладения грамотной письменной и устной речью (даже на родном языке) необходимо решать, в том числе и в рамках системы общего образования. В числе первоочередных задач предусматривается совершенствование образовательных программ в области филологии и педагогического образования, системы повышения квалификации педагогических работников, а также повышение уровня подготовки молодых педагогов (в том числе для дошкольного образования). Подготовка педагогических работников предусматривает включение курсов, дающих возможность подготовить обучающихся к работе с образовательным текстом по истории, географии, биологии, физике, химии или по иному учебному предмету. В образовательных организациях сферы культуры целесообразно вернуться к вопросу о возрождении кафедр детской литературы и библиотечной работы с детьми, в образовательных организациях, которые готовят кадры для издательств и книжной торговли, - специализаций и направлений по работе с детской книгой, в образовательных организациях педагогической направленности - курсов методики внеклассного чтения и детской литературы. Целесообразно проработать вопрос о целевой подготовке специалистов в области детского чтения, а также необходимо уделить внимание детской литературе в учебных планах образовательных организаций, ведущих подготовку филологов, педагогов и библиотекарей.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Положения программы опираются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и юношеского чтения. В программе предусматриваются меры по развитию государственно-частного партнерства, активному участию в проектах социально ориентированных бизнес-структур. </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br/>
        <w:t>Программа также опирается на российские и международные научные исследования (культурологические, социологические, психологические, педагогические, книговедческие, библиотековедческие и другие исследования), международный опыт реализации аналогичных программ и стратегий, мнения экспертного сообщества.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Предусматриваются федеральный, региональный и муниципальный уровни реализации программы.</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V. Основные направления реализации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Основными направлениями реализации программы являются: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научно-исследовательская и методическая деятельность;</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поддержка детской литературы, книгоиздания и книгораспространения;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развитие инфраструктуры детского и юношеского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развитие кадрового потенциала;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деятельность в медиасфере, направленная на поддержку детского и юношеского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рамках направления, касающегося научно-исследовательской и методической деятельности, предусматриваются: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проведение регулярных всероссийских научных комплексных социологических, психолого-педагогических и других исследований, в том числе: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характеристик чтения различных социальных и возрастных групп детей и юношества, отличающихся разным уровнем способностей и читательских компетенций;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влияния электронной среды на чтение и литературное развитие дошкольников и обучающихся;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проблем детского и юношеского книгоиздания и книгораспространения;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роли чтения в формировании новых медийно-информационных компетенций детей и юношества;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чтения в семьях, относящихся к различным социальным группам;</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гендерных особенностей чтения детей разного возраста;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системы классификации читательских компетенций с учетом опыта проведения международных исследований изучения качества чтения и понимания текстов и в соответствии с принятым возрастным делением (дошкольный, младший школьный, подростковый и юношеский);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методики оценки владения читательскими компетенциями в рамках системы классификации читательских компетенций;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комплекса методических рекомендаций по приобщению к чтению детей и юношества для организаций социально-культурной инфраструктуры и органов государственной и муниципальной власти.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рамках направления, касающегося поддержки детской литературы, книгоиздания и книгораспространения, предусматриваются: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межведомственных экспертных советов по рецензированию детской литературы;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формирование государственного заказа на выпуск социально значимой детской и юношеской литературы (книг и периодики), книг-лауреатов литературных премий и всероссийских конкурсов;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государственная поддержка распространения указанной литературы по библиотекам, обслуживающим детей и юношество;</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системы льгот и субсидий для развития книжной торговли в регионах;</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поддержка полиграфического производства детских и юношеских книг и периодики на территории Российской Федерации.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рамках направления, касающегося развития инфраструктуры детского и юношеского чтения, предусматриваются: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и развитие открытых интернет-сервисов по поддержке семейного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развитие системы консультирования родителей в области детского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условий для формирования и активного внедрения в образовательных организациях образовательных программ поддержки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обеспечение информационно-методического сопровождения внеурочной деятельности в сфере поддержки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условий для реализации программ внеурочной деятельности, в том числе с использованием сетевой формы;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активное вовлечение детей в творчество, выявление и поддержка одаренных детей в области литературы и художественного слова;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в библиотеках и других культурно-просветительских учреждениях современного и привлекательного для детей и родителей пространства;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систематическое обновление фондов библиотек, обеспечение соответствия объемов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государственная поддержка театров и театральных студий, развивающих школу художественного чтения, в том числе путем создания новых театральных постановок для детей и юношества;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рамках направления, касающегося медиасферы, предусматриваются: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пропаганда посредством социальной рекламы чтения и детских книг;</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системы творческих соревнований и конкурсов, в том числе национальных и региональных, с активным их продвижением в медиасфере;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и запуск на электронных площадках крупнейших российских средств массовой информации программ для привлечения к чтению детей и юношества с использованием новостных, текстовых, аудиовизуальных и мультимедийных материалов;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оказание государственной поддержки телевизионным каналам для детей и юношества, театрам, кино- и телестудиям, создающим контент на основе детской литературы и способствующим популяризации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распространение с помощью средств массовой информации положительного опыта различных всероссийских, региональных и международных акций по поддержке детского и юношеского чтения и литературы;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вовлечение интернет-сообщества (через социальные сети) в литературные и читательские акции, ориентированные преимущественно на детей и юношество;</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интерактивных и игровых платформ.</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 рамках направления, касающегося развития кадрового потенциала, предусматриваются: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научно обоснованных квалификационных требований к уровню подготовки специалистов по поддержке детского и юношеского чтения, работающих в сфере общего, дополнительного и профессионального образования, культуры и просвещения, книгоиздания и книгораспространения;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новых форматов аттестации кадров;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открытие в федеральных и региональных вузах программ высшего образования для специалистов в области поддержки детского и юношеского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введение в соответствующие программы бакалавриата и магистратуры профилей "редактор детской литературы", "специалист по медиапродвижению детской литературы", "педагог-библиотекарь" и других; </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br/>
        <w:t>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модулей по современной детской, подростковой и юношеской литературе и поддержке чтения (по выбору обучающегося);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обеспечение системы повышения квалификации и переподготовки кадров, в том числе дистанционной, для организаций инфраструктуры поддержки чтения на базе профильных вузов, федеральных и региональных учреждений и центров;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и внедрение современных форм сопровождения непрерывного профессионального развития кадров системы поддержки чтения детей и юношества (сетевых форм и модульных программ повышения квалификации с возможностью обучения по индивидуальной образовательной программе);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организация повышения квалификации специалистов в сфере детского и юношеского чтения в форме стажировки на базе ведущих российских и международных центров и институтов, а также поддержка их участия в профессиональных конференциях и форумах всероссийского и международного уровня;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разработка инновационных образовательных программ общего и дополнительного образования системы поддержки и продвижения чтения с возможностью 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другие специальности);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VI. Этапы реализации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Настоящая Концепция является основой для разработки соответствующей подпрограммы </w:t>
      </w:r>
      <w:hyperlink r:id="rId12" w:history="1">
        <w:r w:rsidRPr="00D544D1">
          <w:rPr>
            <w:rFonts w:ascii="Times New Roman" w:eastAsia="Times New Roman" w:hAnsi="Times New Roman" w:cs="Times New Roman"/>
            <w:color w:val="00466E"/>
            <w:sz w:val="21"/>
            <w:szCs w:val="21"/>
            <w:u w:val="single"/>
            <w:lang w:eastAsia="ru-RU"/>
          </w:rPr>
          <w:t>государственной программы Российской Федерации "Информационное общество (2011 - 2020 годы)"</w:t>
        </w:r>
      </w:hyperlink>
      <w:r w:rsidRPr="00D544D1">
        <w:rPr>
          <w:rFonts w:ascii="Times New Roman" w:eastAsia="Times New Roman" w:hAnsi="Times New Roman" w:cs="Times New Roman"/>
          <w:color w:val="2D2D2D"/>
          <w:sz w:val="21"/>
          <w:szCs w:val="21"/>
          <w:lang w:eastAsia="ru-RU"/>
        </w:rPr>
        <w:t>, а после ее завершения будет приниматься дополнительное решение о ее принадлежности.</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Программа, основанная на положениях настоящей Концепции, должна быть разработана и утверждена в 2017 году. Реализация программы должна начаться в 2018 году.</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Реализация программы предусматривается в 3 этапа:</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I этап (2018 год):</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проведение комплексных научных исследований, которые позволят получить актуальную информацию и провести научный анализ ситуации в сфере детского и юношеского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определение количественных и качественных уровней владения чтением (компетенций) в каждой из возрастных групп и разработка на этой основе системы классификации читательских компетенций;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lastRenderedPageBreak/>
        <w:t>разработка методических рекомендаций для реализации в 2019 - 2020 годах начальной стадии программы.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II этап (2019 - 2020 годы):</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определение моделей внедрения разработанных методических рекомендаций;</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организация внедрения методических рекомендаций в нескольких пилотных регионах и институтах поддержки и развития чтения;</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анализ полученных результатов.</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III этап (2020 - 2026 годы) - реализация программы на территории всей страны и во всех институтах поддержки и развития чтения.</w:t>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before="375" w:after="225" w:line="240" w:lineRule="auto"/>
        <w:jc w:val="center"/>
        <w:textAlignment w:val="baseline"/>
        <w:outlineLvl w:val="2"/>
        <w:rPr>
          <w:rFonts w:ascii="Arial" w:eastAsia="Times New Roman" w:hAnsi="Arial" w:cs="Arial"/>
          <w:color w:val="4C4C4C"/>
          <w:sz w:val="38"/>
          <w:szCs w:val="38"/>
          <w:lang w:eastAsia="ru-RU"/>
        </w:rPr>
      </w:pPr>
      <w:r w:rsidRPr="00D544D1">
        <w:rPr>
          <w:rFonts w:ascii="Arial" w:eastAsia="Times New Roman" w:hAnsi="Arial" w:cs="Arial"/>
          <w:color w:val="4C4C4C"/>
          <w:sz w:val="38"/>
          <w:szCs w:val="38"/>
          <w:lang w:eastAsia="ru-RU"/>
        </w:rPr>
        <w:t>VII. Заключение</w:t>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Программа носит междисциплинарный, межотраслевой и межведомственный характер. Уже на этапе ее разработки на основе положений настоящей Концепции к реализации программы предусматривается привлечь специалистов, обладающих самой высокой квалификацией в различных областях научного знания (культурологи, социологи, философы, лингвисты, психологи, физиологи и другие специалисты). Также предполагается привлечь специалистов в области преподавательской и культурной деятельности (прежде всего библиотечной), книгоиздания, книгораспространения, медийной сферы, чей опыт управления и мониторинга социокультурных процессов в масштабах страны, а также уровень гражданской ответственности соответствуют возможности решать крупномасштабные социальные и культурные проблемы.</w:t>
      </w:r>
      <w:r w:rsidRPr="00D544D1">
        <w:rPr>
          <w:rFonts w:ascii="Times New Roman" w:eastAsia="Times New Roman" w:hAnsi="Times New Roman" w:cs="Times New Roman"/>
          <w:color w:val="2D2D2D"/>
          <w:sz w:val="21"/>
          <w:szCs w:val="21"/>
          <w:lang w:eastAsia="ru-RU"/>
        </w:rPr>
        <w:br/>
      </w:r>
      <w:r w:rsidRPr="00D544D1">
        <w:rPr>
          <w:rFonts w:ascii="Times New Roman" w:eastAsia="Times New Roman" w:hAnsi="Times New Roman" w:cs="Times New Roman"/>
          <w:color w:val="2D2D2D"/>
          <w:sz w:val="21"/>
          <w:szCs w:val="21"/>
          <w:lang w:eastAsia="ru-RU"/>
        </w:rPr>
        <w:br/>
      </w:r>
    </w:p>
    <w:p w:rsidR="00D544D1" w:rsidRPr="00D544D1" w:rsidRDefault="00D544D1" w:rsidP="00D544D1">
      <w:pPr>
        <w:spacing w:after="0" w:line="315" w:lineRule="atLeast"/>
        <w:textAlignment w:val="baseline"/>
        <w:rPr>
          <w:rFonts w:ascii="Times New Roman" w:eastAsia="Times New Roman" w:hAnsi="Times New Roman" w:cs="Times New Roman"/>
          <w:color w:val="2D2D2D"/>
          <w:sz w:val="21"/>
          <w:szCs w:val="21"/>
          <w:lang w:eastAsia="ru-RU"/>
        </w:rPr>
      </w:pPr>
      <w:r w:rsidRPr="00D544D1">
        <w:rPr>
          <w:rFonts w:ascii="Times New Roman" w:eastAsia="Times New Roman" w:hAnsi="Times New Roman" w:cs="Times New Roman"/>
          <w:color w:val="2D2D2D"/>
          <w:sz w:val="21"/>
          <w:szCs w:val="21"/>
          <w:lang w:eastAsia="ru-RU"/>
        </w:rPr>
        <w:t>Электронный текст документа</w:t>
      </w:r>
      <w:r w:rsidRPr="00D544D1">
        <w:rPr>
          <w:rFonts w:ascii="Times New Roman" w:eastAsia="Times New Roman" w:hAnsi="Times New Roman" w:cs="Times New Roman"/>
          <w:color w:val="2D2D2D"/>
          <w:sz w:val="21"/>
          <w:szCs w:val="21"/>
          <w:lang w:eastAsia="ru-RU"/>
        </w:rPr>
        <w:br/>
        <w:t>подготовлен АО "Кодекс" и сверен по:</w:t>
      </w:r>
      <w:r w:rsidRPr="00D544D1">
        <w:rPr>
          <w:rFonts w:ascii="Times New Roman" w:eastAsia="Times New Roman" w:hAnsi="Times New Roman" w:cs="Times New Roman"/>
          <w:color w:val="2D2D2D"/>
          <w:sz w:val="21"/>
          <w:szCs w:val="21"/>
          <w:lang w:eastAsia="ru-RU"/>
        </w:rPr>
        <w:br/>
        <w:t>электронный текст НТЦ "Система"</w:t>
      </w:r>
    </w:p>
    <w:p w:rsidR="004B70AA" w:rsidRDefault="004B70AA">
      <w:bookmarkStart w:id="0" w:name="_GoBack"/>
      <w:bookmarkEnd w:id="0"/>
    </w:p>
    <w:sectPr w:rsidR="004B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67"/>
    <w:rsid w:val="004B70AA"/>
    <w:rsid w:val="00D544D1"/>
    <w:rsid w:val="00F4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4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4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4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44D1"/>
    <w:rPr>
      <w:rFonts w:ascii="Times New Roman" w:eastAsia="Times New Roman" w:hAnsi="Times New Roman" w:cs="Times New Roman"/>
      <w:b/>
      <w:bCs/>
      <w:sz w:val="27"/>
      <w:szCs w:val="27"/>
      <w:lang w:eastAsia="ru-RU"/>
    </w:rPr>
  </w:style>
  <w:style w:type="paragraph" w:customStyle="1" w:styleId="headertext">
    <w:name w:val="headertext"/>
    <w:basedOn w:val="a"/>
    <w:rsid w:val="00D54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4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4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4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4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4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44D1"/>
    <w:rPr>
      <w:rFonts w:ascii="Times New Roman" w:eastAsia="Times New Roman" w:hAnsi="Times New Roman" w:cs="Times New Roman"/>
      <w:b/>
      <w:bCs/>
      <w:sz w:val="27"/>
      <w:szCs w:val="27"/>
      <w:lang w:eastAsia="ru-RU"/>
    </w:rPr>
  </w:style>
  <w:style w:type="paragraph" w:customStyle="1" w:styleId="headertext">
    <w:name w:val="headertext"/>
    <w:basedOn w:val="a"/>
    <w:rsid w:val="00D54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4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4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8761">
      <w:bodyDiv w:val="1"/>
      <w:marLeft w:val="0"/>
      <w:marRight w:val="0"/>
      <w:marTop w:val="0"/>
      <w:marBottom w:val="0"/>
      <w:divBdr>
        <w:top w:val="none" w:sz="0" w:space="0" w:color="auto"/>
        <w:left w:val="none" w:sz="0" w:space="0" w:color="auto"/>
        <w:bottom w:val="none" w:sz="0" w:space="0" w:color="auto"/>
        <w:right w:val="none" w:sz="0" w:space="0" w:color="auto"/>
      </w:divBdr>
      <w:divsChild>
        <w:div w:id="915165852">
          <w:marLeft w:val="0"/>
          <w:marRight w:val="0"/>
          <w:marTop w:val="0"/>
          <w:marBottom w:val="0"/>
          <w:divBdr>
            <w:top w:val="none" w:sz="0" w:space="0" w:color="auto"/>
            <w:left w:val="none" w:sz="0" w:space="0" w:color="auto"/>
            <w:bottom w:val="none" w:sz="0" w:space="0" w:color="auto"/>
            <w:right w:val="none" w:sz="0" w:space="0" w:color="auto"/>
          </w:divBdr>
          <w:divsChild>
            <w:div w:id="1236667277">
              <w:marLeft w:val="0"/>
              <w:marRight w:val="0"/>
              <w:marTop w:val="0"/>
              <w:marBottom w:val="0"/>
              <w:divBdr>
                <w:top w:val="none" w:sz="0" w:space="0" w:color="auto"/>
                <w:left w:val="none" w:sz="0" w:space="0" w:color="auto"/>
                <w:bottom w:val="none" w:sz="0" w:space="0" w:color="auto"/>
                <w:right w:val="none" w:sz="0" w:space="0" w:color="auto"/>
              </w:divBdr>
              <w:divsChild>
                <w:div w:id="1073235154">
                  <w:marLeft w:val="0"/>
                  <w:marRight w:val="0"/>
                  <w:marTop w:val="0"/>
                  <w:marBottom w:val="0"/>
                  <w:divBdr>
                    <w:top w:val="none" w:sz="0" w:space="0" w:color="auto"/>
                    <w:left w:val="none" w:sz="0" w:space="0" w:color="auto"/>
                    <w:bottom w:val="none" w:sz="0" w:space="0" w:color="auto"/>
                    <w:right w:val="none" w:sz="0" w:space="0" w:color="auto"/>
                  </w:divBdr>
                  <w:divsChild>
                    <w:div w:id="720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751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42192" TargetMode="External"/><Relationship Id="rId12" Type="http://schemas.openxmlformats.org/officeDocument/2006/relationships/hyperlink" Target="http://docs.cntd.ru/document/4990917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20242192" TargetMode="External"/><Relationship Id="rId11" Type="http://schemas.openxmlformats.org/officeDocument/2006/relationships/hyperlink" Target="http://docs.cntd.ru/document/420349749" TargetMode="External"/><Relationship Id="rId5" Type="http://schemas.openxmlformats.org/officeDocument/2006/relationships/hyperlink" Target="http://docs.cntd.ru/document/499091768" TargetMode="External"/><Relationship Id="rId10" Type="http://schemas.openxmlformats.org/officeDocument/2006/relationships/hyperlink" Target="http://docs.cntd.ru/document/420349749" TargetMode="External"/><Relationship Id="rId4" Type="http://schemas.openxmlformats.org/officeDocument/2006/relationships/webSettings" Target="webSettings.xml"/><Relationship Id="rId9" Type="http://schemas.openxmlformats.org/officeDocument/2006/relationships/hyperlink" Target="http://docs.cntd.ru/document/4202751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4398</Words>
  <Characters>25074</Characters>
  <Application>Microsoft Office Word</Application>
  <DocSecurity>0</DocSecurity>
  <Lines>208</Lines>
  <Paragraphs>58</Paragraphs>
  <ScaleCrop>false</ScaleCrop>
  <Company>Krokoz™</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2</cp:revision>
  <dcterms:created xsi:type="dcterms:W3CDTF">2017-10-27T12:00:00Z</dcterms:created>
  <dcterms:modified xsi:type="dcterms:W3CDTF">2017-10-27T12:01:00Z</dcterms:modified>
</cp:coreProperties>
</file>